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天津市玉烨装潢设计中心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天津市玉烨装潢设计中心</w:t>
      </w:r>
      <w:r>
        <w:rPr>
          <w:rFonts w:ascii="仿宋_GB2312" w:eastAsia="仿宋_GB2312" w:hint="eastAsia"/>
          <w:sz w:val="30"/>
          <w:szCs w:val="30"/>
        </w:rPr>
        <w:t xml:space="preserve">的主要职责是：</w:t>
      </w:r>
      <w:r>
        <w:rPr>
          <w:rFonts w:ascii="仿宋_GB2312" w:eastAsia="仿宋_GB2312" w:hint="eastAsia"/>
          <w:sz w:val="30"/>
          <w:szCs w:val="30"/>
        </w:rPr>
        <w:t xml:space="preserve">负责本部门退休人员管理工作，财政拨款用于转制前退休人员基本支出</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天津市玉烨装潢设计中心内设0个职能处室；下辖0X个预算单位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天津市玉烨装潢设计中心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天津市玉烨装潢设计中心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18,000.00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18,000.00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18,000.00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18,000.00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18,000.00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21599</w:t>
            </w:r>
          </w:p>
        </w:tc>
        <w:tc>
          <w:tcPr>
            <w:tcW w:w="2520" w:type="dxa"/>
            <w:tcBorders/>
            <w:vAlign w:val="center"/>
          </w:tcPr>
          <w:p>
            <w:pPr>
              <w:snapToGrid w:val="0"/>
              <w:jc w:val="left"/>
            </w:pPr>
            <w:r>
              <w:rPr>
                <w:rFonts w:ascii="宋体" w:eastAsia="宋体" w:hAnsi="宋体" w:cs="宋体"/>
                <w:b w:val="0"/>
                <w:i w:val="0"/>
                <w:color w:val="000000"/>
                <w:sz w:val="14"/>
              </w:rPr>
              <w:t xml:space="preserve">其他资源勘探工业信息等支出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2159999</w:t>
            </w:r>
          </w:p>
        </w:tc>
        <w:tc>
          <w:tcPr>
            <w:tcW w:w="2520" w:type="dxa"/>
            <w:tcBorders/>
            <w:vAlign w:val="center"/>
          </w:tcPr>
          <w:p>
            <w:pPr>
              <w:snapToGrid w:val="0"/>
              <w:jc w:val="left"/>
            </w:pPr>
            <w:r>
              <w:rPr>
                <w:rFonts w:ascii="宋体" w:eastAsia="宋体" w:hAnsi="宋体" w:cs="宋体"/>
                <w:b w:val="0"/>
                <w:i w:val="0"/>
                <w:color w:val="000000"/>
                <w:sz w:val="14"/>
              </w:rPr>
              <w:t xml:space="preserve">其他资源勘探工业信息等支出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snapToGrid w:val="0"/>
              <w:jc w:val="right"/>
            </w:pPr>
            <w:r>
              <w:rPr>
                <w:rFonts w:ascii="宋体" w:eastAsia="宋体" w:hAnsi="宋体" w:cs="宋体"/>
                <w:b w:val="0"/>
                <w:i w:val="0"/>
                <w:color w:val="000000"/>
                <w:sz w:val="14"/>
              </w:rPr>
              <w:t xml:space="preserve">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705912</w:t>
            </w:r>
          </w:p>
        </w:tc>
        <w:tc>
          <w:tcPr>
            <w:tcW w:w="1520" w:type="dxa"/>
            <w:tcBorders/>
            <w:vAlign w:val="center"/>
          </w:tcPr>
          <w:p>
            <w:pPr>
              <w:snapToGrid w:val="0"/>
              <w:jc w:val="center"/>
            </w:pPr>
            <w:r>
              <w:rPr>
                <w:rFonts w:ascii="宋体" w:eastAsia="宋体" w:hAnsi="宋体" w:cs="宋体"/>
                <w:b w:val="0"/>
                <w:i w:val="0"/>
                <w:color w:val="000000"/>
                <w:sz w:val="9"/>
              </w:rPr>
              <w:t xml:space="preserve">天津市玉烨装潢设计中心</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snapToGrid w:val="0"/>
              <w:jc w:val="right"/>
            </w:pPr>
            <w:r>
              <w:rPr>
                <w:rFonts w:ascii="宋体" w:eastAsia="宋体" w:hAnsi="宋体" w:cs="宋体"/>
                <w:b w:val="0"/>
                <w:i w:val="0"/>
                <w:color w:val="000000"/>
                <w:sz w:val="9"/>
              </w:rPr>
              <w:t xml:space="preserve">18,000.00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21599</w:t>
            </w:r>
          </w:p>
        </w:tc>
        <w:tc>
          <w:tcPr>
            <w:tcW w:w="4400" w:type="dxa"/>
            <w:tcBorders/>
            <w:vAlign w:val="center"/>
          </w:tcPr>
          <w:p>
            <w:pPr>
              <w:snapToGrid w:val="0"/>
              <w:jc w:val="left"/>
            </w:pPr>
            <w:r>
              <w:rPr>
                <w:rFonts w:ascii="宋体" w:eastAsia="宋体" w:hAnsi="宋体" w:cs="宋体"/>
                <w:b w:val="0"/>
                <w:i w:val="0"/>
                <w:color w:val="000000"/>
                <w:sz w:val="15"/>
              </w:rPr>
              <w:t xml:space="preserve">其他资源勘探工业信息等支出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2159999</w:t>
            </w:r>
          </w:p>
        </w:tc>
        <w:tc>
          <w:tcPr>
            <w:tcW w:w="4400" w:type="dxa"/>
            <w:tcBorders/>
            <w:vAlign w:val="center"/>
          </w:tcPr>
          <w:p>
            <w:pPr>
              <w:snapToGrid w:val="0"/>
              <w:jc w:val="left"/>
            </w:pPr>
            <w:r>
              <w:rPr>
                <w:rFonts w:ascii="宋体" w:eastAsia="宋体" w:hAnsi="宋体" w:cs="宋体"/>
                <w:b w:val="0"/>
                <w:i w:val="0"/>
                <w:color w:val="000000"/>
                <w:sz w:val="15"/>
              </w:rPr>
              <w:t xml:space="preserve">其他资源勘探工业信息等支出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snapToGrid w:val="0"/>
              <w:jc w:val="right"/>
            </w:pPr>
            <w:r>
              <w:rPr>
                <w:rFonts w:ascii="宋体" w:eastAsia="宋体" w:hAnsi="宋体" w:cs="宋体"/>
                <w:b w:val="0"/>
                <w:i w:val="0"/>
                <w:color w:val="000000"/>
                <w:sz w:val="15"/>
              </w:rPr>
              <w:t xml:space="preserve">18,000.00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snapToGrid w:val="0"/>
              <w:jc w:val="right"/>
            </w:pPr>
            <w:r>
              <w:rPr>
                <w:rFonts w:ascii="宋体" w:eastAsia="宋体" w:hAnsi="宋体" w:cs="宋体"/>
                <w:b w:val="0"/>
                <w:i w:val="0"/>
                <w:color w:val="000000"/>
                <w:sz w:val="16"/>
              </w:rPr>
              <w:t xml:space="preserve">18,000.00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21599</w:t>
            </w:r>
          </w:p>
        </w:tc>
        <w:tc>
          <w:tcPr>
            <w:tcW w:w="3480" w:type="dxa"/>
            <w:tcBorders/>
            <w:vAlign w:val="center"/>
          </w:tcPr>
          <w:p>
            <w:pPr>
              <w:snapToGrid w:val="0"/>
              <w:jc w:val="left"/>
            </w:pPr>
            <w:r>
              <w:rPr>
                <w:rFonts w:ascii="宋体" w:eastAsia="宋体" w:hAnsi="宋体" w:cs="宋体"/>
                <w:b w:val="0"/>
                <w:i w:val="0"/>
                <w:color w:val="000000"/>
                <w:sz w:val="20"/>
              </w:rPr>
              <w:t xml:space="preserve">其他资源勘探工业信息等支出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2159999</w:t>
            </w:r>
          </w:p>
        </w:tc>
        <w:tc>
          <w:tcPr>
            <w:tcW w:w="3480" w:type="dxa"/>
            <w:tcBorders/>
            <w:vAlign w:val="center"/>
          </w:tcPr>
          <w:p>
            <w:pPr>
              <w:snapToGrid w:val="0"/>
              <w:jc w:val="left"/>
            </w:pPr>
            <w:r>
              <w:rPr>
                <w:rFonts w:ascii="宋体" w:eastAsia="宋体" w:hAnsi="宋体" w:cs="宋体"/>
                <w:b w:val="0"/>
                <w:i w:val="0"/>
                <w:color w:val="000000"/>
                <w:sz w:val="20"/>
              </w:rPr>
              <w:t xml:space="preserve">其他资源勘探工业信息等支出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snapToGrid w:val="0"/>
              <w:jc w:val="right"/>
            </w:pPr>
            <w:r>
              <w:rPr>
                <w:rFonts w:ascii="宋体" w:eastAsia="宋体" w:hAnsi="宋体" w:cs="宋体"/>
                <w:b w:val="0"/>
                <w:i w:val="0"/>
                <w:color w:val="000000"/>
                <w:sz w:val="20"/>
              </w:rPr>
              <w:t xml:space="preserve">18,000.00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天津市玉烨装潢设计中心2024年度政府性基金预算财政拨款收入支出决算表为空表。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天津市玉烨装潢设计中心2024年国有资本经营预算财政拨款收入支出决算表为空表。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天津市玉烨装潢设计中心2024年财政拨款“三公”经费支出决算表为空表。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单位：天津市玉烨装潢设计中心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天津市玉烨装潢设计中心2024年项目支出决算表为空表。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天津市玉烨装潢设计中心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18,000.00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持平</w:t>
      </w:r>
      <w:r>
        <w:rPr>
          <w:rFonts w:eastAsia="仿宋_GB2312" w:hint="eastAsia"/>
          <w:sz w:val="30"/>
          <w:szCs w:val="30"/>
        </w:rPr>
        <w:t xml:space="preserve">，主要原因是</w:t>
      </w:r>
      <w:r>
        <w:rPr>
          <w:rFonts w:eastAsia="仿宋_GB2312" w:hint="eastAsia"/>
          <w:sz w:val="30"/>
          <w:szCs w:val="30"/>
        </w:rPr>
        <w:t xml:space="preserve">无离退休人员去世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一般公共预算财政拨款收入18,000.00元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资源勘探工业信息等支出18,000.00元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天津市玉烨装潢设计中心</w:t>
      </w:r>
      <w:r>
        <w:rPr>
          <w:rFonts w:eastAsia="仿宋_GB2312" w:hint="eastAsia"/>
          <w:sz w:val="30"/>
          <w:szCs w:val="30"/>
        </w:rPr>
        <w:t xml:space="preserve">2024年度本年收入合计</w:t>
      </w:r>
      <w:r>
        <w:rPr>
          <w:rFonts w:eastAsia="仿宋_GB2312" w:hint="eastAsia"/>
          <w:sz w:val="30"/>
          <w:szCs w:val="30"/>
        </w:rPr>
        <w:t xml:space="preserve">18,000.00</w:t>
      </w:r>
      <w:r>
        <w:rPr>
          <w:rFonts w:eastAsia="仿宋_GB2312" w:hint="eastAsia"/>
          <w:sz w:val="30"/>
          <w:szCs w:val="30"/>
        </w:rPr>
        <w:t xml:space="preserve">元，与2023年度相比</w:t>
      </w:r>
      <w:r>
        <w:rPr>
          <w:rFonts w:eastAsia="仿宋_GB2312" w:hint="eastAsia"/>
          <w:sz w:val="30"/>
          <w:szCs w:val="30"/>
        </w:rPr>
        <w:t xml:space="preserve">持平，</w:t>
      </w:r>
      <w:r>
        <w:rPr>
          <w:rFonts w:eastAsia="仿宋_GB2312" w:hint="eastAsia"/>
          <w:sz w:val="30"/>
          <w:szCs w:val="30"/>
        </w:rPr>
        <w:t xml:space="preserve">主要原因是</w:t>
      </w:r>
      <w:r>
        <w:rPr>
          <w:rFonts w:eastAsia="仿宋_GB2312" w:hint="eastAsia"/>
          <w:sz w:val="30"/>
          <w:szCs w:val="30"/>
        </w:rPr>
        <w:t xml:space="preserve">无离退休人员去世</w:t>
      </w:r>
      <w:r>
        <w:rPr>
          <w:rFonts w:eastAsia="仿宋_GB2312" w:hint="eastAsia"/>
          <w:sz w:val="30"/>
          <w:szCs w:val="30"/>
        </w:rPr>
        <w:t xml:space="preserve">。其中：</w:t>
      </w:r>
      <w:r>
        <w:rPr>
          <w:rFonts w:eastAsia="仿宋_GB2312" w:hint="eastAsia"/>
          <w:sz w:val="30"/>
          <w:szCs w:val="30"/>
        </w:rPr>
        <w:t xml:space="preserve">一般公共预算财政拨款收入18,000.00元，占100.000%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天津市玉烨装潢设计中心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18,000.00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持平，</w:t>
      </w:r>
      <w:r>
        <w:rPr>
          <w:rFonts w:eastAsia="仿宋_GB2312" w:hint="eastAsia"/>
          <w:sz w:val="30"/>
          <w:szCs w:val="30"/>
        </w:rPr>
        <w:t xml:space="preserve">主要原因是</w:t>
      </w:r>
      <w:r>
        <w:rPr>
          <w:rFonts w:eastAsia="仿宋_GB2312" w:hint="eastAsia"/>
          <w:sz w:val="30"/>
          <w:szCs w:val="30"/>
        </w:rPr>
        <w:t xml:space="preserve">无离退休人员去世</w:t>
      </w:r>
      <w:r>
        <w:rPr>
          <w:rFonts w:eastAsia="仿宋_GB2312" w:hint="eastAsia"/>
          <w:sz w:val="30"/>
          <w:szCs w:val="30"/>
        </w:rPr>
        <w:t xml:space="preserve">。其中：</w:t>
      </w:r>
      <w:r>
        <w:rPr>
          <w:rFonts w:eastAsia="仿宋_GB2312" w:hint="eastAsia"/>
          <w:sz w:val="30"/>
          <w:szCs w:val="30"/>
        </w:rPr>
        <w:t xml:space="preserve">基本支出18,000.00元，占100.000%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天津市玉烨装潢设计中心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18,000.00</w:t>
      </w:r>
      <w:r>
        <w:rPr>
          <w:rFonts w:eastAsia="仿宋_GB2312" w:hint="eastAsia"/>
          <w:sz w:val="30"/>
          <w:szCs w:val="30"/>
        </w:rPr>
        <w:t xml:space="preserve">元。与2023年度相比，财政拨款收、支总计各</w:t>
      </w:r>
      <w:r>
        <w:rPr>
          <w:rFonts w:eastAsia="仿宋_GB2312" w:hint="eastAsia"/>
          <w:sz w:val="30"/>
          <w:szCs w:val="30"/>
        </w:rPr>
        <w:t xml:space="preserve">持平，</w:t>
      </w:r>
      <w:r>
        <w:rPr>
          <w:rFonts w:eastAsia="仿宋_GB2312" w:hint="eastAsia"/>
          <w:sz w:val="30"/>
          <w:szCs w:val="30"/>
        </w:rPr>
        <w:t xml:space="preserve">主要原因是</w:t>
      </w:r>
      <w:r>
        <w:rPr>
          <w:rFonts w:eastAsia="仿宋_GB2312" w:hint="eastAsia"/>
          <w:sz w:val="30"/>
          <w:szCs w:val="30"/>
        </w:rPr>
        <w:t xml:space="preserve">无离退休人员去世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一般公共预算财政拨款18,000.00元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资源勘探工业信息等支出18,000.00元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天津市玉烨装潢设计中心2024年度部门决算一般公共预算财政拨款支出合计18,000.00元，占本年支出合计的100.000%。与2023年度相比，一般公共预算财政拨款支出</w:t>
      </w:r>
      <w:r>
        <w:rPr>
          <w:rFonts w:eastAsia="仿宋_GB2312" w:hint="eastAsia"/>
          <w:sz w:val="30"/>
          <w:szCs w:val="30"/>
        </w:rPr>
        <w:t xml:space="preserve">持平</w:t>
      </w:r>
      <w:r>
        <w:rPr>
          <w:rFonts w:eastAsia="仿宋_GB2312" w:hint="eastAsia"/>
          <w:sz w:val="30"/>
          <w:szCs w:val="30"/>
        </w:rPr>
        <w:t xml:space="preserve">，主要原因是无离退休人员去世。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2024年度一般公共预算财政拨款支出18,000.00元，主要用于以下方面：</w:t>
      </w:r>
      <w:r>
        <w:rPr>
          <w:rFonts w:eastAsia="仿宋_GB2312" w:hint="eastAsia"/>
          <w:sz w:val="30"/>
          <w:szCs w:val="30"/>
        </w:rPr>
        <w:t xml:space="preserve">资源勘探工业信息等支出（类）支出18,000.00元，占100.000%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2024年度一般公共预算财政拨款支出年初预算为18,000.00元，支出决算为18,000.00元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资源勘探工业信息等支出（类）其他资源勘探工业信息等支出（款）其他资源勘探工业信息等支出（项）年初预算为18,000.00元，支出决算为18,000.00元，完成年初预算的100.000%，决算数与预算数持平的主要原因是：无离退休人员去世</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天津市玉烨装潢设计中心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18,000.00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持平，</w:t>
      </w:r>
      <w:r>
        <w:rPr>
          <w:rFonts w:eastAsia="仿宋_GB2312" w:hint="eastAsia"/>
          <w:sz w:val="30"/>
          <w:szCs w:val="30"/>
        </w:rPr>
        <w:t xml:space="preserve">主要原因是</w:t>
      </w:r>
      <w:r>
        <w:rPr>
          <w:rFonts w:eastAsia="仿宋_GB2312" w:hint="eastAsia"/>
          <w:sz w:val="30"/>
          <w:szCs w:val="30"/>
        </w:rPr>
        <w:t xml:space="preserve">无离退休人员去世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人员经费18,000.00元，主要包括</w:t>
      </w:r>
      <w:r>
        <w:rPr>
          <w:rFonts w:eastAsia="仿宋_GB2312" w:hint="eastAsia"/>
          <w:sz w:val="30"/>
          <w:szCs w:val="30"/>
        </w:rPr>
        <w:t xml:space="preserve">退休费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天津市玉烨装潢设计中心2024年度无政府性基金预算财政拨款收入、支出和结转结余。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天津市玉烨装潢设计中心2024年度无国有资本经营预算财政拨款收入、支出和结转结余。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决算数与预算数持平的主要原因是本年度未用财政拨款经费列支因“三公”经费；</w:t>
      </w:r>
      <w:r>
        <w:rPr>
          <w:rFonts w:eastAsia="仿宋_GB2312" w:hint="eastAsia"/>
          <w:sz w:val="30"/>
          <w:szCs w:val="30"/>
        </w:rPr>
        <w:t xml:space="preserve">决算数较上年持平的主要原因是本年度未用财政拨款经费列支因“三公”经费。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天津市玉烨装潢设计中心2024年度无机关运行经费。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天津市玉烨装潢设计中心2024年度无政府采购支出。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天津市玉烨装潢设计中心2024年度无国有资产占有使用情况。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天津市玉烨装潢设计中心2024年度没有项目支出,无需开展绩效自评。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天津市玉烨装潢设计中心不属于乡、镇、街级单位,不涉及公开2024年度教育、医疗卫生、社会保障和就业、住房保障、涉农补贴等民生支出情况。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