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
        <w:t>天津市化学工业学校</w:t>
      </w:r>
      <w:r>
        <w:rPr>
          <w:rFonts w:hint="eastAsia" w:ascii="Times New Roman" w:hAnsi="Times New Roman" w:eastAsia="方正小标宋简体" w:cs="方正小标宋简体"/>
          <w:kern w:val="0"/>
          <w:sz w:val="48"/>
          <w:szCs w:val="48"/>
          <w:highlight w:val="none"/>
          <w:lang w:val="zh-CN"/>
        </w:rPr>
        <w:t/>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
        <w:t>目</w:t>
      </w:r>
      <w:r>
        <w:rPr>
          <w:rFonts w:hint="eastAsia" w:ascii="Times New Roman" w:hAnsi="Times New Roman" w:eastAsia="黑体" w:cs="黑体"/>
          <w:kern w:val="0"/>
          <w:sz w:val="44"/>
          <w:szCs w:val="44"/>
          <w:highlight w:val="none"/>
          <w:lang w:val="en-US" w:eastAsia="zh-CN"/>
        </w:rPr>
        <w:t xml:space="preserve"/>
        <w:t xml:space="preserve">   </w:t>
      </w:r>
      <w:r>
        <w:rPr>
          <w:rFonts w:hint="eastAsia" w:ascii="Times New Roman" w:hAnsi="Times New Roman" w:eastAsia="黑体" w:cs="黑体"/>
          <w:kern w:val="0"/>
          <w:sz w:val="44"/>
          <w:szCs w:val="44"/>
          <w:highlight w:val="none"/>
        </w:rPr>
        <w:t/>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第一部分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概</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第二部分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第三部分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
        <w:t>第四部分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val="en"/>
        </w:rPr>
        <w:t/>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第一部分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概</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天津市化学工业学校是中等职业学校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天津市化学工业学校</w:t>
      </w:r>
      <w:r>
        <w:rPr>
          <w:rFonts w:hint="eastAsia" w:ascii="Times New Roman" w:hAnsi="Times New Roman" w:eastAsia="仿宋_GB2312" w:cs="仿宋_GB2312"/>
          <w:sz w:val="30"/>
          <w:szCs w:val="30"/>
          <w:highlight w:val="none"/>
          <w:lang w:eastAsia="zh-CN"/>
        </w:rPr>
        <w:t/>
        <w:t>内设10</w:t>
      </w:r>
      <w:r>
        <w:rPr>
          <w:rFonts w:hint="eastAsia" w:ascii="Times New Roman" w:hAnsi="Times New Roman" w:eastAsia="仿宋_GB2312" w:cs="仿宋_GB2312"/>
          <w:sz w:val="30"/>
          <w:szCs w:val="30"/>
          <w:highlight w:val="none"/>
          <w:lang w:eastAsia="zh-CN"/>
        </w:rPr>
        <w:t/>
        <w:t>个分别是校长室、党委单位办公室、人事科、财务室、教务科、学生科、团委、招生办公室、总务科、保卫科。</w:t>
      </w:r>
      <w:r>
        <w:rPr>
          <w:rFonts w:hint="eastAsia" w:ascii="Times New Roman" w:hAnsi="Times New Roman" w:eastAsia="仿宋_GB2312" w:cs="仿宋_GB2312"/>
          <w:sz w:val="30"/>
          <w:szCs w:val="30"/>
          <w:highlight w:val="none"/>
          <w:lang w:eastAsia="zh-CN"/>
        </w:rPr>
        <w:t/>
        <w:t>；下辖1</w:t>
      </w:r>
      <w:r>
        <w:rPr>
          <w:rFonts w:hint="eastAsia" w:ascii="Times New Roman" w:hAnsi="Times New Roman" w:eastAsia="仿宋_GB2312" w:cs="仿宋_GB2312"/>
          <w:sz w:val="30"/>
          <w:szCs w:val="30"/>
          <w:highlight w:val="none"/>
          <w:lang w:eastAsia="zh-CN"/>
        </w:rPr>
        <w:t/>
        <w:t>个预算单位。纳入天津市化学工业学校</w:t>
      </w:r>
      <w:r>
        <w:rPr>
          <w:rFonts w:hint="eastAsia" w:ascii="Times New Roman" w:hAnsi="Times New Roman" w:eastAsia="仿宋_GB2312" w:cs="仿宋_GB2312"/>
          <w:sz w:val="30"/>
          <w:szCs w:val="30"/>
          <w:highlight w:val="none"/>
          <w:lang w:eastAsia="zh-CN"/>
        </w:rPr>
        <w:t/>
        <w:t>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天津市化学工业学校</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第二部分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十、《财政拨款</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三公</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 xml:space="preserve"> 4.若“政府性基金预算财政拨款收入支出决算表”为空表的部门或单位，作下述说明：“天津市化学工业学校2023年度政府性基金预算财政拨款收入支出决算表为空表”。</w:t>
        <w:br/>
        <w:t xml:space="preserve"> 5.若“国有资本经营预算财政拨款收入支出决算表”为空表的部门或单位，做下述说明：“天津市化学工业学校2023年度国有资本经营预算财政拨款收入支出决算表为空表”。</w:t>
        <w:br/>
        <w:t xml:space="preserve"> 6.若“财政拨款“三公”经费支出决算表”为空表的部门或单位，作下述说明：“天津市化学工业学校2023年度财政拨款“三公”经费支出决算表为空表”。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第三部分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
        <w:t>天津市化学工业学校</w:t>
      </w:r>
      <w:r>
        <w:rPr>
          <w:rFonts w:hint="eastAsia" w:ascii="Times New Roman" w:hAnsi="Times New Roman" w:eastAsia="仿宋_GB2312" w:cs="仿宋_GB2312"/>
          <w:sz w:val="30"/>
          <w:szCs w:val="30"/>
          <w:highlight w:val="none"/>
          <w:lang w:val="zh-CN" w:eastAsia="zh-CN"/>
        </w:rPr>
        <w:t/>
        <w:t>2023年度收入、支出决算总计</w:t>
      </w:r>
      <w:r>
        <w:rPr>
          <w:rFonts w:hint="eastAsia" w:ascii="Times New Roman" w:hAnsi="Times New Roman" w:eastAsia="仿宋_GB2312" w:cs="仿宋_GB2312"/>
          <w:sz w:val="30"/>
          <w:szCs w:val="30"/>
          <w:highlight w:val="none"/>
          <w:lang w:eastAsia="zh-CN"/>
        </w:rPr>
        <w:t/>
        <w:t>65,614,639.26</w:t>
      </w:r>
      <w:r>
        <w:rPr>
          <w:rFonts w:hint="eastAsia" w:ascii="Times New Roman" w:hAnsi="Times New Roman" w:eastAsia="仿宋_GB2312" w:cs="仿宋_GB2312"/>
          <w:sz w:val="30"/>
          <w:szCs w:val="30"/>
          <w:highlight w:val="none"/>
          <w:lang w:eastAsia="zh-CN"/>
        </w:rPr>
        <w:t/>
        <w:t>元，与2022年度相比，收、支总计各增加12,263,738.56</w:t>
      </w:r>
      <w:r>
        <w:rPr>
          <w:rFonts w:hint="eastAsia" w:ascii="Times New Roman" w:hAnsi="Times New Roman" w:eastAsia="仿宋_GB2312" w:cs="仿宋_GB2312"/>
          <w:sz w:val="30"/>
          <w:szCs w:val="30"/>
          <w:highlight w:val="none"/>
          <w:lang w:eastAsia="zh-CN"/>
        </w:rPr>
        <w:t/>
        <w:t>元，增长22.99</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：人员支出的增加和学校建设公用支出增加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二、</w:t>
      </w:r>
      <w:r>
        <w:rPr>
          <w:rFonts w:hint="eastAsia" w:ascii="Times New Roman" w:hAnsi="Times New Roman" w:eastAsia="黑体" w:cs="黑体"/>
          <w:b/>
          <w:bCs/>
          <w:kern w:val="0"/>
          <w:sz w:val="30"/>
          <w:szCs w:val="30"/>
          <w:highlight w:val="none"/>
        </w:rPr>
        <w:t/>
        <w:t>收入决算情况</w:t>
      </w:r>
      <w:r>
        <w:rPr>
          <w:rFonts w:hint="eastAsia" w:ascii="Times New Roman" w:hAnsi="Times New Roman" w:eastAsia="黑体" w:cs="黑体"/>
          <w:b/>
          <w:bCs/>
          <w:kern w:val="0"/>
          <w:sz w:val="30"/>
          <w:szCs w:val="30"/>
          <w:highlight w:val="none"/>
          <w:lang w:val="zh-CN"/>
        </w:rPr>
        <w:t/>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天津市化学工业学校</w:t>
      </w:r>
      <w:r>
        <w:rPr>
          <w:rFonts w:hint="eastAsia" w:ascii="Times New Roman" w:hAnsi="Times New Roman" w:eastAsia="仿宋_GB2312" w:cs="Times New Roman"/>
          <w:sz w:val="30"/>
          <w:szCs w:val="30"/>
          <w:highlight w:val="none"/>
          <w:lang w:eastAsia="zh-CN"/>
        </w:rPr>
        <w:t/>
        <w:t>2023</w:t>
      </w:r>
      <w:r>
        <w:rPr>
          <w:rFonts w:hint="eastAsia" w:ascii="Times New Roman" w:hAnsi="Times New Roman" w:eastAsia="仿宋_GB2312" w:cs="仿宋_GB2312"/>
          <w:sz w:val="30"/>
          <w:szCs w:val="30"/>
          <w:highlight w:val="none"/>
          <w:lang w:val="zh-CN"/>
        </w:rPr>
        <w:t/>
        <w:t>年度本年收入合计</w:t>
      </w:r>
      <w:r>
        <w:rPr>
          <w:rFonts w:hint="eastAsia" w:ascii="Times New Roman" w:hAnsi="Times New Roman" w:eastAsia="仿宋_GB2312" w:cs="Times New Roman"/>
          <w:sz w:val="30"/>
          <w:szCs w:val="30"/>
          <w:highlight w:val="none"/>
          <w:lang w:eastAsia="zh-CN"/>
        </w:rPr>
        <w:t/>
        <w:t>48,811,384.49</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eastAsia="zh-CN"/>
        </w:rPr>
        <w:t/>
        <w:t>增加</w:t>
      </w:r>
      <w:r>
        <w:rPr>
          <w:rFonts w:hint="eastAsia" w:ascii="Times New Roman" w:hAnsi="Times New Roman" w:eastAsia="仿宋_GB2312" w:cs="仿宋_GB2312"/>
          <w:sz w:val="30"/>
          <w:szCs w:val="30"/>
          <w:highlight w:val="none"/>
          <w:lang w:eastAsia="zh-CN"/>
        </w:rPr>
        <w:t/>
        <w:t>1,932,312.00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lang w:val="zh-CN"/>
        </w:rPr>
        <w:t/>
        <w:t>主要原因是</w:t>
      </w:r>
      <w:r>
        <w:rPr>
          <w:rFonts w:hint="eastAsia"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lang w:eastAsia="zh-CN"/>
        </w:rPr>
        <w:t/>
        <w:t>财政经费的减少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lang w:val="zh-CN"/>
        </w:rPr>
        <w:t/>
        <w:t>一般公共预算财政拨款收入</w:t>
      </w:r>
      <w:r>
        <w:rPr>
          <w:rFonts w:hint="eastAsia" w:ascii="Times New Roman" w:hAnsi="Times New Roman" w:eastAsia="仿宋_GB2312" w:cs="Times New Roman"/>
          <w:sz w:val="30"/>
          <w:szCs w:val="30"/>
          <w:highlight w:val="none"/>
          <w:lang w:eastAsia="zh-CN"/>
        </w:rPr>
        <w:t/>
        <w:t>46,211,137.61</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，占</w:t>
      </w:r>
      <w:r>
        <w:rPr>
          <w:rFonts w:hint="eastAsia" w:ascii="Times New Roman" w:hAnsi="Times New Roman" w:eastAsia="仿宋_GB2312" w:cs="Times New Roman"/>
          <w:sz w:val="30"/>
          <w:szCs w:val="30"/>
          <w:highlight w:val="none"/>
          <w:lang w:eastAsia="zh-CN"/>
        </w:rPr>
        <w:t/>
        <w:t>94.67</w:t>
      </w:r>
      <w:r>
        <w:rPr>
          <w:rFonts w:hint="eastAsia" w:ascii="Times New Roman" w:hAnsi="Times New Roman" w:eastAsia="宋体" w:cs="Times New Roman"/>
          <w:sz w:val="30"/>
          <w:szCs w:val="30"/>
          <w:highlight w:val="none"/>
          <w:lang w:eastAsia="zh-CN"/>
        </w:rPr>
        <w:t/>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政府性基金预算财政拨款收入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国有资本经营预算财政拨款收入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财政专户管理资金收入</w:t>
      </w:r>
      <w:r>
        <w:rPr>
          <w:rFonts w:hint="eastAsia" w:ascii="Times New Roman" w:hAnsi="Times New Roman" w:eastAsia="仿宋_GB2312" w:cs="仿宋_GB2312"/>
          <w:sz w:val="30"/>
          <w:szCs w:val="30"/>
          <w:highlight w:val="none"/>
          <w:lang w:val="zh-CN"/>
        </w:rPr>
        <w:t/>
        <w:t>2,474,150.00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5.07</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事业单位经营收入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上级补助收入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
        <w:t>附属单位上缴收入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
        <w:t>其他收入</w:t>
      </w:r>
      <w:r>
        <w:rPr>
          <w:rFonts w:hint="eastAsia" w:ascii="Times New Roman" w:hAnsi="Times New Roman" w:eastAsia="仿宋_GB2312" w:cs="仿宋_GB2312"/>
          <w:sz w:val="30"/>
          <w:szCs w:val="30"/>
          <w:highlight w:val="none"/>
          <w:lang w:val="zh-CN"/>
        </w:rPr>
        <w:t/>
        <w:t>126,096.88</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0.26</w:t>
      </w:r>
      <w:r>
        <w:rPr>
          <w:rFonts w:hint="eastAsia" w:ascii="Times New Roman" w:hAnsi="Times New Roman" w:eastAsia="仿宋_GB2312" w:cs="仿宋_GB2312"/>
          <w:sz w:val="30"/>
          <w:szCs w:val="30"/>
          <w:highlight w:val="none"/>
          <w:lang w:val="zh-CN"/>
        </w:rPr>
        <w:t/>
        <w:t>%</w:t>
      </w:r>
      <w:r>
        <w:rPr>
          <w:rFonts w:hint="eastAsia" w:ascii="Times New Roman" w:hAnsi="Times New Roman" w:eastAsia="仿宋_GB2312" w:cs="仿宋_GB2312"/>
          <w:sz w:val="30"/>
          <w:szCs w:val="30"/>
          <w:highlight w:val="none"/>
          <w:lang w:val="zh-CN"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三、支出</w:t>
      </w:r>
      <w:r>
        <w:rPr>
          <w:rFonts w:hint="eastAsia" w:ascii="Times New Roman" w:hAnsi="Times New Roman" w:eastAsia="黑体" w:cs="黑体"/>
          <w:b/>
          <w:bCs/>
          <w:kern w:val="0"/>
          <w:sz w:val="30"/>
          <w:szCs w:val="30"/>
          <w:highlight w:val="none"/>
        </w:rPr>
        <w:t/>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天津市化学工业学校</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年度本年支出合计</w:t>
      </w:r>
      <w:r>
        <w:rPr>
          <w:rFonts w:hint="eastAsia" w:ascii="Times New Roman" w:hAnsi="Times New Roman" w:eastAsia="仿宋_GB2312" w:cs="仿宋_GB2312"/>
          <w:sz w:val="30"/>
          <w:szCs w:val="30"/>
          <w:highlight w:val="none"/>
          <w:lang w:eastAsia="zh-CN"/>
        </w:rPr>
        <w:t/>
        <w:t>49,751,307.83</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169,247.19</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lang w:eastAsia="zh-CN"/>
        </w:rPr>
        <w:t/>
        <w:t>学校建设中 固定资产支出 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rPr>
        <w:t/>
        <w:t>基本支出</w:t>
      </w:r>
      <w:r>
        <w:rPr>
          <w:rFonts w:hint="eastAsia" w:ascii="Times New Roman" w:hAnsi="Times New Roman" w:eastAsia="仿宋_GB2312" w:cs="仿宋_GB2312"/>
          <w:sz w:val="30"/>
          <w:szCs w:val="30"/>
          <w:highlight w:val="none"/>
          <w:lang w:eastAsia="zh-CN"/>
        </w:rPr>
        <w:t/>
        <w:t>43,622,999.11</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w:t>
      </w:r>
      <w:r>
        <w:rPr>
          <w:rFonts w:hint="eastAsia" w:ascii="Times New Roman" w:hAnsi="Times New Roman" w:eastAsia="仿宋_GB2312" w:cs="仿宋_GB2312"/>
          <w:sz w:val="30"/>
          <w:szCs w:val="30"/>
          <w:highlight w:val="none"/>
          <w:lang w:val="en-US" w:eastAsia="zh-CN"/>
        </w:rPr>
        <w:t/>
        <w:t>87.68</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项目支出</w:t>
      </w:r>
      <w:r>
        <w:rPr>
          <w:rFonts w:hint="eastAsia" w:ascii="Times New Roman" w:hAnsi="Times New Roman" w:eastAsia="仿宋_GB2312" w:cs="仿宋_GB2312"/>
          <w:sz w:val="30"/>
          <w:szCs w:val="30"/>
          <w:highlight w:val="none"/>
          <w:lang w:eastAsia="zh-CN"/>
        </w:rPr>
        <w:t/>
        <w:t>6,128,308.72</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占12.32</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上缴上级支出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经营支出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
        <w:t>对附属单位补助支出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
        <w:t>天津市化学工业学校</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年度财政拨款收入、支出决算总计</w:t>
      </w:r>
      <w:r>
        <w:rPr>
          <w:rFonts w:hint="eastAsia" w:ascii="Times New Roman" w:hAnsi="Times New Roman" w:eastAsia="仿宋_GB2312" w:cs="Times New Roman"/>
          <w:sz w:val="30"/>
          <w:szCs w:val="30"/>
          <w:highlight w:val="none"/>
          <w:lang w:val="zh-CN"/>
        </w:rPr>
        <w:t/>
        <w:t>47,585,068.72</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年度相比，财政拨款收、支总计各</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3,167,940.24</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下降</w:t>
      </w:r>
      <w:r>
        <w:rPr>
          <w:rFonts w:hint="eastAsia" w:ascii="Times New Roman" w:hAnsi="Times New Roman" w:eastAsia="仿宋_GB2312" w:cs="仿宋_GB2312"/>
          <w:sz w:val="30"/>
          <w:szCs w:val="30"/>
          <w:highlight w:val="none"/>
          <w:lang w:eastAsia="zh-CN"/>
        </w:rPr>
        <w:t/>
        <w:t>6.24</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lang w:eastAsia="zh-CN"/>
        </w:rPr>
        <w:t/>
        <w:t>财政经费的减少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天津市化学工业学校</w:t>
      </w:r>
      <w:r>
        <w:rPr>
          <w:rFonts w:hint="eastAsia" w:ascii="Times New Roman" w:hAnsi="Times New Roman" w:eastAsia="仿宋_GB2312" w:cs="仿宋_GB2312"/>
          <w:sz w:val="30"/>
          <w:szCs w:val="30"/>
          <w:highlight w:val="none"/>
          <w:lang w:eastAsia="zh-CN"/>
        </w:rPr>
        <w:t/>
        <w:t>2023年度部门决算一般公共预算财政拨款支出</w:t>
      </w:r>
      <w:r>
        <w:rPr>
          <w:rFonts w:hint="eastAsia" w:ascii="Times New Roman" w:hAnsi="Times New Roman" w:eastAsia="仿宋_GB2312" w:cs="仿宋_GB2312"/>
          <w:sz w:val="30"/>
          <w:szCs w:val="30"/>
          <w:highlight w:val="none"/>
          <w:lang w:val="zh-CN" w:eastAsia="zh-CN"/>
        </w:rPr>
        <w:t/>
        <w:t>合</w:t>
      </w:r>
      <w:r>
        <w:rPr>
          <w:rFonts w:hint="eastAsia" w:ascii="Times New Roman" w:hAnsi="Times New Roman" w:eastAsia="仿宋_GB2312" w:cs="仿宋_GB2312"/>
          <w:sz w:val="30"/>
          <w:szCs w:val="30"/>
          <w:highlight w:val="none"/>
          <w:lang w:eastAsia="zh-CN"/>
        </w:rPr>
        <w:t/>
        <w:t>计47,585,068.72</w:t>
      </w:r>
      <w:r>
        <w:rPr>
          <w:rFonts w:hint="eastAsia" w:ascii="Times New Roman" w:hAnsi="Times New Roman" w:eastAsia="仿宋_GB2312" w:cs="仿宋_GB2312"/>
          <w:sz w:val="30"/>
          <w:szCs w:val="30"/>
          <w:highlight w:val="none"/>
          <w:lang w:eastAsia="zh-CN"/>
        </w:rPr>
        <w:t/>
        <w:t>元，占本年支出合计的95.65</w:t>
      </w:r>
      <w:r>
        <w:rPr>
          <w:rFonts w:hint="eastAsia" w:ascii="Times New Roman" w:hAnsi="Times New Roman" w:eastAsia="仿宋_GB2312" w:cs="仿宋_GB2312"/>
          <w:sz w:val="30"/>
          <w:szCs w:val="30"/>
          <w:highlight w:val="none"/>
          <w:lang w:eastAsia="zh-CN"/>
        </w:rPr>
        <w:t/>
        <w:t>%，与2022年度相比，一般公共预算财政拨款支出</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1,794,009.13</w:t>
      </w:r>
      <w:r>
        <w:rPr>
          <w:rFonts w:hint="eastAsia" w:ascii="Times New Roman" w:hAnsi="Times New Roman" w:eastAsia="仿宋_GB2312" w:cs="仿宋_GB2312"/>
          <w:sz w:val="30"/>
          <w:szCs w:val="30"/>
          <w:highlight w:val="none"/>
          <w:lang w:eastAsia="zh-CN"/>
        </w:rPr>
        <w:t/>
        <w:t>元，</w:t>
      </w:r>
      <w:r>
        <w:rPr>
          <w:rFonts w:hint="eastAsia" w:ascii="Times New Roman" w:hAnsi="Times New Roman" w:eastAsia="仿宋_GB2312" w:cs="仿宋_GB2312"/>
          <w:sz w:val="30"/>
          <w:szCs w:val="30"/>
          <w:highlight w:val="none"/>
          <w:lang w:val="en-US" w:eastAsia="zh-CN"/>
        </w:rPr>
        <w:t/>
        <w:t>下降</w:t>
      </w:r>
      <w:r>
        <w:rPr>
          <w:rFonts w:hint="eastAsia" w:ascii="Times New Roman" w:hAnsi="Times New Roman" w:eastAsia="仿宋_GB2312" w:cs="仿宋_GB2312"/>
          <w:sz w:val="30"/>
          <w:szCs w:val="30"/>
          <w:highlight w:val="none"/>
          <w:lang w:eastAsia="zh-CN"/>
        </w:rPr>
        <w:t/>
        <w:t>3.63</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：财政经费的减少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w:t>
      </w:r>
      <w:r>
        <w:rPr>
          <w:rFonts w:hint="eastAsia" w:ascii="Times New Roman" w:hAnsi="Times New Roman" w:eastAsia="楷体" w:cs="楷体"/>
          <w:b/>
          <w:bCs/>
          <w:kern w:val="0"/>
          <w:sz w:val="30"/>
          <w:szCs w:val="30"/>
          <w:highlight w:val="none"/>
          <w:lang w:val="zh-CN"/>
        </w:rPr>
        <w:t/>
        <w:t>支出结构</w:t>
      </w:r>
      <w:r>
        <w:rPr>
          <w:rFonts w:hint="eastAsia" w:ascii="Times New Roman" w:hAnsi="Times New Roman" w:eastAsia="楷体" w:cs="楷体"/>
          <w:b/>
          <w:bCs/>
          <w:kern w:val="0"/>
          <w:sz w:val="30"/>
          <w:szCs w:val="30"/>
          <w:highlight w:val="none"/>
        </w:rPr>
        <w:t/>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2023</w:t>
      </w:r>
      <w:r>
        <w:rPr>
          <w:rFonts w:hint="eastAsia" w:ascii="Times New Roman" w:hAnsi="Times New Roman" w:eastAsia="仿宋_GB2312" w:cs="仿宋_GB2312"/>
          <w:sz w:val="30"/>
          <w:szCs w:val="30"/>
          <w:highlight w:val="none"/>
        </w:rPr>
        <w:t/>
        <w:t>年度一般公共预算财政拨款支出</w:t>
      </w:r>
      <w:r>
        <w:rPr>
          <w:rFonts w:hint="eastAsia" w:ascii="Times New Roman" w:hAnsi="Times New Roman" w:eastAsia="仿宋_GB2312" w:cs="Times New Roman"/>
          <w:sz w:val="30"/>
          <w:szCs w:val="30"/>
          <w:highlight w:val="none"/>
          <w:lang w:eastAsia="zh-CN"/>
        </w:rPr>
        <w:t/>
        <w:t>47,585,068.72</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主要用于以下方面：</w:t>
      </w:r>
      <w:r>
        <w:rPr>
          <w:rFonts w:hint="eastAsia" w:ascii="Times New Roman" w:hAnsi="Times New Roman" w:eastAsia="仿宋_GB2312" w:cs="仿宋_GB2312"/>
          <w:sz w:val="30"/>
          <w:szCs w:val="30"/>
          <w:highlight w:val="none"/>
          <w:lang w:eastAsia="zh-CN"/>
        </w:rPr>
        <w:t/>
        <w:t>教育支出44,680,128.72元，占93.89%；社会保障和就业支出2526000元，占5.31%；卫生健康支出378940元，占0.8%；</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年度一般公共预算财政拨款支出年初预算为</w:t>
      </w:r>
      <w:r>
        <w:rPr>
          <w:rFonts w:hint="eastAsia" w:ascii="Times New Roman" w:hAnsi="Times New Roman" w:eastAsia="仿宋_GB2312" w:cs="Times New Roman"/>
          <w:sz w:val="30"/>
          <w:szCs w:val="30"/>
          <w:highlight w:val="none"/>
          <w:lang w:eastAsia="zh-CN"/>
        </w:rPr>
        <w:t/>
        <w:t>46,358,400.00</w:t>
      </w:r>
      <w:r>
        <w:rPr>
          <w:rFonts w:hint="eastAsia" w:ascii="Times New Roman" w:hAnsi="Times New Roman" w:eastAsia="仿宋_GB2312" w:cs="仿宋_GB2312"/>
          <w:kern w:val="0"/>
          <w:sz w:val="30"/>
          <w:szCs w:val="30"/>
          <w:highlight w:val="none"/>
        </w:rPr>
        <w:t/>
        <w:t>元，支出决算为</w:t>
      </w:r>
      <w:r>
        <w:rPr>
          <w:rFonts w:hint="eastAsia" w:ascii="Times New Roman" w:hAnsi="Times New Roman" w:eastAsia="仿宋_GB2312" w:cs="Times New Roman"/>
          <w:sz w:val="30"/>
          <w:szCs w:val="30"/>
          <w:highlight w:val="none"/>
          <w:lang w:eastAsia="zh-CN"/>
        </w:rPr>
        <w:t/>
        <w:t>47,585,068.72</w:t>
      </w:r>
      <w:r>
        <w:rPr>
          <w:rFonts w:hint="eastAsia" w:ascii="Times New Roman" w:hAnsi="Times New Roman" w:eastAsia="仿宋_GB2312" w:cs="仿宋_GB2312"/>
          <w:kern w:val="0"/>
          <w:sz w:val="30"/>
          <w:szCs w:val="30"/>
          <w:highlight w:val="none"/>
        </w:rPr>
        <w:t/>
        <w:t>元，完成年初预算的</w:t>
      </w:r>
      <w:r>
        <w:rPr>
          <w:rFonts w:hint="eastAsia" w:ascii="Times New Roman" w:hAnsi="Times New Roman" w:eastAsia="仿宋_GB2312" w:cs="Times New Roman"/>
          <w:sz w:val="30"/>
          <w:szCs w:val="30"/>
          <w:highlight w:val="none"/>
          <w:lang w:eastAsia="zh-CN"/>
        </w:rPr>
        <w:t/>
        <w:t>102.65</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
        <w:t>1. 208（类）05（款）05（项）年初预算为1,684,000.00元，支出决算为1,684,000.00元，完成年初预算的100%，决算数等于年初预算数。</w:t>
        <w:br/>
        <w:t>2. 208（类）05（款）06（项）年初预算为842,000.00元，支出决算为842,000.00元，完成年初预算的100%，决算数等于年初预算数。</w:t>
        <w:br/>
        <w:t>3. 210（类）11（款）99（项）年初预算为379,000.00元，支出决算为378,940.00元，完成年初预算的99.98%，决算数小于年初预算数的主要原因是未使用。</w:t>
        <w:br/>
        <w:t>4.205（类）03（款）02（项）年初基本预算为38,578,000元，支出决算为38,551,820元，完成年初预算的99.93%，决算数等于年初预算数。</w:t>
        <w:br/>
        <w:t>5. 205（类）03（款）02（项）年初项目预算为3,888,400.00元，支出决算为5,714,500.00元，完成年初预算的146.96%，决算数大于年初预算数的主要原因是经费的追加。</w:t>
        <w:br/>
        <w:t>6. 205（类）03（款）03（项）年初预算为987,000.00元，支出决算为413,777.61元，完成年初预算的41.92%，决算数小于年初预算数的主要原因是未使用。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天津市化学工业学校</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年度部门决算一般公共预算财政拨款基本支出合计</w:t>
      </w:r>
      <w:r>
        <w:rPr>
          <w:rFonts w:hint="eastAsia" w:ascii="Times New Roman" w:hAnsi="Times New Roman" w:eastAsia="仿宋_GB2312" w:cs="Times New Roman"/>
          <w:sz w:val="30"/>
          <w:szCs w:val="30"/>
          <w:highlight w:val="none"/>
          <w:lang w:eastAsia="zh-CN"/>
        </w:rPr>
        <w:t/>
        <w:t>41,456,760.00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2,234,140.00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rPr>
        <w:t/>
        <w:t>：</w:t>
      </w:r>
      <w:r>
        <w:rPr>
          <w:rFonts w:hint="eastAsia" w:ascii="Times New Roman" w:hAnsi="Times New Roman" w:eastAsia="仿宋_GB2312" w:cs="仿宋_GB2312"/>
          <w:sz w:val="30"/>
          <w:szCs w:val="30"/>
          <w:highlight w:val="none"/>
          <w:lang w:eastAsia="zh-CN"/>
        </w:rPr>
        <w:t/>
        <w:t>财政经费的减少</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人员经费</w:t>
      </w:r>
      <w:r>
        <w:rPr>
          <w:rFonts w:hint="eastAsia" w:ascii="Times New Roman" w:hAnsi="Times New Roman" w:eastAsia="仿宋_GB2312" w:cs="Times New Roman"/>
          <w:sz w:val="30"/>
          <w:szCs w:val="30"/>
          <w:highlight w:val="none"/>
          <w:lang w:eastAsia="zh-CN"/>
        </w:rPr>
        <w:t/>
        <w:t>30,404,940.00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人员经费30,404,940.00元，主要包括基本工资、津贴补贴、绩效工资、机关事业单位基本养老保险缴费、职业年金缴费、职工基本医疗保险缴费、其他社会保障缴费、住房公积金、医疗费、退休费、抚恤金、生活补助、医疗费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公用经费</w:t>
      </w:r>
      <w:r>
        <w:rPr>
          <w:rFonts w:hint="eastAsia" w:ascii="Times New Roman" w:hAnsi="Times New Roman" w:eastAsia="仿宋_GB2312" w:cs="Times New Roman"/>
          <w:sz w:val="30"/>
          <w:szCs w:val="30"/>
          <w:highlight w:val="none"/>
          <w:lang w:eastAsia="zh-CN"/>
        </w:rPr>
        <w:t/>
        <w:t>11,051,820.00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公用经费11,051,820.00元，主要包括办公费、水费、电费、邮电费、取暖费、物业管理费、差旅费、维修(护)费、培训费、专用材料费、劳务费、工会经费、福利费、其他交通费用、其他商品和服务支出、专用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天津市化学工业学校</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年度部门决算政府性基金预算财政拨款</w:t>
      </w:r>
      <w:r>
        <w:rPr>
          <w:rFonts w:hint="eastAsia" w:ascii="Times New Roman" w:hAnsi="Times New Roman" w:eastAsia="仿宋_GB2312" w:cs="仿宋_GB2312"/>
          <w:kern w:val="0"/>
          <w:sz w:val="30"/>
          <w:szCs w:val="30"/>
          <w:highlight w:val="none"/>
        </w:rPr>
        <w:t/>
        <w:t>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rPr>
        <w:t/>
        <w:t>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元，年末结转和结余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年度相比，政府性基金财政拨款支出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t>天津市天津市化学工业学校2023年度无政府性基金预算财政拨款收入、支出和结转结余。</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
        <w:t>天津市天津市化学工业学校2023年度无政府性基金预算财政拨款收入、支出和结转结余。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八、国有资本经营预算财政拨款收支决算情况说明</w:t>
      </w:r>
      <w:bookmarkStart w:id="0" w:name="_GoBack"/>
      <w:bookmarkEnd w:id="0"/>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天津市化学工业学校</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年度部门决算国有资本经营预算财政拨款年初结转和结余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元，年末结余和结余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hint="eastAsia" w:ascii="Times New Roman" w:hAnsi="Times New Roman" w:eastAsia="仿宋_GB2312" w:cs="仿宋_GB2312"/>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年度相比，国有资本经营预算财政拨款支出</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t>天津市天津市化学工业学校2023年度无国有资本经营预算财政拨款收入、支出和结转结余。</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天津市天津市化学工业学校2023年度无国有资本经营预算财政拨款收入、支出和结转结余。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九、财政拨款</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三公</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经费</w:t>
      </w:r>
      <w:r>
        <w:rPr>
          <w:rFonts w:hint="eastAsia" w:ascii="Times New Roman" w:hAnsi="Times New Roman" w:eastAsia="黑体" w:cs="黑体"/>
          <w:b/>
          <w:bCs/>
          <w:kern w:val="0"/>
          <w:sz w:val="30"/>
          <w:szCs w:val="30"/>
          <w:highlight w:val="none"/>
          <w:lang w:val="zh-CN"/>
        </w:rPr>
        <w:t/>
        <w:t>支出决算</w:t>
      </w:r>
      <w:r>
        <w:rPr>
          <w:rFonts w:hint="eastAsia" w:ascii="Times New Roman" w:hAnsi="Times New Roman" w:eastAsia="黑体" w:cs="黑体"/>
          <w:b/>
          <w:bCs/>
          <w:kern w:val="0"/>
          <w:sz w:val="30"/>
          <w:szCs w:val="30"/>
          <w:highlight w:val="none"/>
        </w:rPr>
        <w:t/>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决算数与预算数相同</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决算数与预算数相同</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1.</w:t>
      </w:r>
      <w:r>
        <w:rPr>
          <w:rFonts w:hint="eastAsia" w:ascii="Times New Roman" w:hAnsi="Times New Roman" w:eastAsia="仿宋_GB2312" w:cs="仿宋_GB2312"/>
          <w:kern w:val="0"/>
          <w:sz w:val="30"/>
          <w:szCs w:val="30"/>
          <w:highlight w:val="none"/>
        </w:rPr>
        <w:t/>
        <w:t>因公出国（境）费预算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决算数与预算数相同</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决算数与预算数相同</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年本单位组织的出国团组</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个，出国</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公务用车购置及运行维护费预算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决算数与预算数相同</w:t>
      </w:r>
      <w:r>
        <w:rPr>
          <w:rFonts w:hint="eastAsia" w:ascii="Times New Roman" w:hAnsi="Times New Roman" w:eastAsia="仿宋_GB2312" w:cs="仿宋_GB2312"/>
          <w:kern w:val="0"/>
          <w:sz w:val="30"/>
          <w:szCs w:val="30"/>
          <w:highlight w:val="none"/>
          <w:lang w:eastAsia="zh-CN"/>
        </w:rPr>
        <w:t/>
        <w:t>；</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决算数与预算数相同</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决算数与预算数相同</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决算数与预算数相同</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截至</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w:t>
      </w:r>
      <w:r>
        <w:rPr>
          <w:rFonts w:ascii="Times New Roman" w:hAnsi="Times New Roman" w:eastAsia="仿宋_GB2312" w:cs="仿宋_GB2312"/>
          <w:kern w:val="0"/>
          <w:sz w:val="30"/>
          <w:szCs w:val="30"/>
          <w:highlight w:val="none"/>
        </w:rPr>
        <w:t/>
        <w:t>12</w:t>
      </w:r>
      <w:r>
        <w:rPr>
          <w:rFonts w:hint="eastAsia" w:ascii="Times New Roman" w:hAnsi="Times New Roman" w:eastAsia="仿宋_GB2312" w:cs="仿宋_GB2312"/>
          <w:kern w:val="0"/>
          <w:sz w:val="30"/>
          <w:szCs w:val="30"/>
          <w:highlight w:val="none"/>
        </w:rPr>
        <w:t/>
        <w:t>月</w:t>
      </w:r>
      <w:r>
        <w:rPr>
          <w:rFonts w:ascii="Times New Roman" w:hAnsi="Times New Roman" w:eastAsia="仿宋_GB2312" w:cs="仿宋_GB2312"/>
          <w:kern w:val="0"/>
          <w:sz w:val="30"/>
          <w:szCs w:val="30"/>
          <w:highlight w:val="none"/>
        </w:rPr>
        <w:t/>
        <w:t>31</w:t>
      </w:r>
      <w:r>
        <w:rPr>
          <w:rFonts w:hint="eastAsia" w:ascii="Times New Roman" w:hAnsi="Times New Roman" w:eastAsia="仿宋_GB2312" w:cs="仿宋_GB2312"/>
          <w:kern w:val="0"/>
          <w:sz w:val="30"/>
          <w:szCs w:val="30"/>
          <w:highlight w:val="none"/>
        </w:rPr>
        <w:t/>
        <w:t>日，使用财政拨款开支运行维护费的公务用车保有量为</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公务用车购置费预算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决算数与预算数相同</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决算数与预算数相同</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年购置公务用车</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公务接待费预算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决算数与预算数相同</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决算数与预算数相同</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年本单位国内公务接待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人次；其中，外事接待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
        <w:t>天津市化学工业学校</w:t>
      </w:r>
      <w:r>
        <w:rPr>
          <w:rFonts w:hint="eastAsia" w:ascii="Times New Roman" w:hAnsi="Times New Roman" w:eastAsia="宋体" w:cs="宋体"/>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年度机关运行经费决算数</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元，比</w:t>
      </w:r>
      <w:r>
        <w:rPr>
          <w:rFonts w:hint="eastAsia" w:ascii="Times New Roman" w:hAnsi="Times New Roman" w:eastAsia="仿宋_GB2312" w:cs="Times New Roman"/>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仿宋_GB2312" w:cs="仿宋_GB2312"/>
          <w:sz w:val="30"/>
          <w:szCs w:val="30"/>
          <w:highlight w:val="none"/>
          <w:lang w:eastAsia="zh-CN"/>
        </w:rPr>
        <w:t/>
        <w:t>天津市天津市化学工业学校202３年度无机关运行经费。</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天津市天津市化学工业学校202３年度无机关运行经费。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天津市化学工业学校</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color w:val="000000"/>
          <w:kern w:val="0"/>
          <w:sz w:val="30"/>
          <w:szCs w:val="30"/>
          <w:highlight w:val="none"/>
        </w:rPr>
        <w:t/>
        <w:t>年</w:t>
      </w:r>
      <w:r>
        <w:rPr>
          <w:rFonts w:hint="eastAsia" w:ascii="Times New Roman" w:hAnsi="Times New Roman" w:eastAsia="仿宋_GB2312" w:cs="仿宋_GB2312"/>
          <w:sz w:val="30"/>
          <w:szCs w:val="30"/>
          <w:highlight w:val="none"/>
        </w:rPr>
        <w:t/>
        <w:t>政府</w:t>
      </w:r>
      <w:r>
        <w:rPr>
          <w:rFonts w:hint="eastAsia" w:ascii="Times New Roman" w:hAnsi="Times New Roman" w:eastAsia="仿宋_GB2312" w:cs="仿宋_GB2312"/>
          <w:color w:val="000000"/>
          <w:kern w:val="0"/>
          <w:sz w:val="30"/>
          <w:szCs w:val="30"/>
          <w:highlight w:val="none"/>
        </w:rPr>
        <w:t/>
        <w:t>采购支出总额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元，其中：政府采购货物支出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元、政府采购工程支出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元、政府采购服务支出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元。授予中小企业合同金额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，其中：授予小微企业合同金额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w:t>
      </w:r>
      <w:r>
        <w:rPr>
          <w:rFonts w:hint="eastAsia" w:ascii="Times New Roman" w:hAnsi="Times New Roman" w:eastAsia="仿宋_GB2312" w:cs="仿宋_GB2312"/>
          <w:kern w:val="0"/>
          <w:sz w:val="30"/>
          <w:szCs w:val="30"/>
          <w:highlight w:val="none"/>
        </w:rPr>
        <w:t/>
        <w:t>货物采购授予中小企业合同金额占货物支出金额的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，工程采购授予中小企业合同金额占工程支出金额的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，服务采购授予中小企业合同金额占服务支出金额的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
        <w:t>天津市化学工业学校2023年度无政府采购支出。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十二、</w:t>
      </w:r>
      <w:r>
        <w:rPr>
          <w:rFonts w:hint="eastAsia" w:ascii="Times New Roman" w:hAnsi="Times New Roman" w:eastAsia="黑体" w:cs="黑体"/>
          <w:b/>
          <w:bCs/>
          <w:kern w:val="0"/>
          <w:sz w:val="30"/>
          <w:szCs w:val="30"/>
          <w:highlight w:val="none"/>
        </w:rPr>
        <w:t/>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
        <w:t>截至</w:t>
      </w:r>
      <w:r>
        <w:rPr>
          <w:rFonts w:ascii="Times New Roman" w:hAnsi="Times New Roman" w:eastAsia="宋体" w:cs="宋体"/>
          <w:color w:val="000000"/>
          <w:kern w:val="0"/>
          <w:sz w:val="30"/>
          <w:szCs w:val="30"/>
          <w:highlight w:val="none"/>
        </w:rPr>
        <w:t/>
        <w:t>202</w:t>
      </w:r>
      <w:r>
        <w:rPr>
          <w:rFonts w:hint="eastAsia" w:ascii="Times New Roman" w:hAnsi="Times New Roman" w:eastAsia="宋体" w:cs="宋体"/>
          <w:color w:val="000000"/>
          <w:kern w:val="0"/>
          <w:sz w:val="30"/>
          <w:szCs w:val="30"/>
          <w:highlight w:val="none"/>
          <w:lang w:val="en-US" w:eastAsia="zh-CN"/>
        </w:rPr>
        <w:t/>
        <w:t>3</w:t>
      </w:r>
      <w:r>
        <w:rPr>
          <w:rFonts w:hint="eastAsia" w:ascii="Times New Roman" w:hAnsi="Times New Roman" w:eastAsia="仿宋_GB2312" w:cs="仿宋_GB2312"/>
          <w:color w:val="000000"/>
          <w:kern w:val="0"/>
          <w:sz w:val="30"/>
          <w:szCs w:val="30"/>
          <w:highlight w:val="none"/>
        </w:rPr>
        <w:t/>
        <w:t>年</w:t>
      </w:r>
      <w:r>
        <w:rPr>
          <w:rFonts w:ascii="Times New Roman" w:hAnsi="Times New Roman" w:eastAsia="仿宋_GB2312" w:cs="Times New Roman"/>
          <w:color w:val="000000"/>
          <w:kern w:val="0"/>
          <w:sz w:val="30"/>
          <w:szCs w:val="30"/>
          <w:highlight w:val="none"/>
        </w:rPr>
        <w:t/>
        <w:t>12</w:t>
      </w:r>
      <w:r>
        <w:rPr>
          <w:rFonts w:hint="eastAsia" w:ascii="Times New Roman" w:hAnsi="Times New Roman" w:eastAsia="仿宋_GB2312" w:cs="仿宋_GB2312"/>
          <w:color w:val="000000"/>
          <w:kern w:val="0"/>
          <w:sz w:val="30"/>
          <w:szCs w:val="30"/>
          <w:highlight w:val="none"/>
        </w:rPr>
        <w:t/>
        <w:t>月</w:t>
      </w:r>
      <w:r>
        <w:rPr>
          <w:rFonts w:ascii="Times New Roman" w:hAnsi="Times New Roman" w:eastAsia="仿宋_GB2312" w:cs="Times New Roman"/>
          <w:color w:val="000000"/>
          <w:kern w:val="0"/>
          <w:sz w:val="30"/>
          <w:szCs w:val="30"/>
          <w:highlight w:val="none"/>
        </w:rPr>
        <w:t/>
        <w:t>31</w:t>
      </w:r>
      <w:r>
        <w:rPr>
          <w:rFonts w:hint="eastAsia" w:ascii="Times New Roman" w:hAnsi="Times New Roman" w:eastAsia="仿宋_GB2312" w:cs="仿宋_GB2312"/>
          <w:color w:val="000000"/>
          <w:kern w:val="0"/>
          <w:sz w:val="30"/>
          <w:szCs w:val="30"/>
          <w:highlight w:val="none"/>
        </w:rPr>
        <w:t/>
        <w:t>日，</w:t>
      </w:r>
      <w:r>
        <w:rPr>
          <w:rFonts w:hint="eastAsia" w:ascii="Times New Roman" w:hAnsi="Times New Roman" w:eastAsia="仿宋_GB2312" w:cs="仿宋_GB2312"/>
          <w:color w:val="000000"/>
          <w:kern w:val="0"/>
          <w:sz w:val="30"/>
          <w:szCs w:val="30"/>
          <w:highlight w:val="none"/>
          <w:lang w:eastAsia="zh-CN"/>
        </w:rPr>
        <w:t/>
        <w:t>天津市化学工业学校</w:t>
      </w:r>
      <w:r>
        <w:rPr>
          <w:rFonts w:hint="eastAsia" w:ascii="Times New Roman" w:hAnsi="Times New Roman" w:eastAsia="仿宋_GB2312" w:cs="仿宋_GB2312"/>
          <w:color w:val="000000"/>
          <w:kern w:val="0"/>
          <w:sz w:val="30"/>
          <w:szCs w:val="30"/>
          <w:highlight w:val="none"/>
        </w:rPr>
        <w:t/>
        <w:t>共有车辆</w:t>
      </w:r>
      <w:r>
        <w:rPr>
          <w:rFonts w:hint="eastAsia" w:ascii="Times New Roman" w:hAnsi="Times New Roman" w:eastAsia="仿宋_GB2312" w:cs="Times New Roman"/>
          <w:kern w:val="0"/>
          <w:sz w:val="30"/>
          <w:szCs w:val="30"/>
          <w:highlight w:val="none"/>
          <w:lang w:eastAsia="zh-CN"/>
        </w:rPr>
        <w:t/>
        <w:t>2</w:t>
      </w:r>
      <w:r>
        <w:rPr>
          <w:rFonts w:hint="eastAsia" w:ascii="Times New Roman" w:hAnsi="Times New Roman" w:eastAsia="仿宋_GB2312" w:cs="仿宋_GB2312"/>
          <w:color w:val="000000"/>
          <w:kern w:val="0"/>
          <w:sz w:val="30"/>
          <w:szCs w:val="30"/>
          <w:highlight w:val="none"/>
        </w:rPr>
        <w:t/>
        <w:t>辆，其中：</w:t>
      </w:r>
      <w:r>
        <w:rPr>
          <w:rFonts w:ascii="Times New Roman" w:hAnsi="Times New Roman" w:eastAsia="仿宋_GB2312" w:cs="Times New Roman"/>
          <w:kern w:val="0"/>
          <w:sz w:val="30"/>
          <w:szCs w:val="30"/>
          <w:highlight w:val="none"/>
        </w:rPr>
        <w:t/>
        <w:t>副部（省）级及以上领导用车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主要</w:t>
      </w:r>
      <w:r>
        <w:rPr>
          <w:rFonts w:hint="eastAsia" w:ascii="Times New Roman" w:hAnsi="Times New Roman" w:eastAsia="仿宋_GB2312" w:cs="Times New Roman"/>
          <w:kern w:val="0"/>
          <w:sz w:val="30"/>
          <w:szCs w:val="30"/>
          <w:highlight w:val="none"/>
          <w:lang w:val="en-US" w:eastAsia="zh-CN"/>
        </w:rPr>
        <w:t/>
        <w:t>负责人</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机要通信用车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应急保障用车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执法执勤用车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特种专业技术用车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离退休干部</w:t>
      </w:r>
      <w:r>
        <w:rPr>
          <w:rFonts w:hint="eastAsia" w:ascii="Times New Roman" w:hAnsi="Times New Roman" w:eastAsia="仿宋_GB2312" w:cs="Times New Roman"/>
          <w:kern w:val="0"/>
          <w:sz w:val="30"/>
          <w:szCs w:val="30"/>
          <w:highlight w:val="none"/>
          <w:lang w:val="en-US" w:eastAsia="zh-CN"/>
        </w:rPr>
        <w:t/>
        <w:t>服务</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其他用车</w:t>
      </w:r>
      <w:r>
        <w:rPr>
          <w:rFonts w:hint="eastAsia" w:ascii="Times New Roman" w:hAnsi="Times New Roman" w:eastAsia="仿宋_GB2312" w:cs="Times New Roman"/>
          <w:kern w:val="0"/>
          <w:sz w:val="30"/>
          <w:szCs w:val="30"/>
          <w:highlight w:val="none"/>
          <w:lang w:eastAsia="zh-CN"/>
        </w:rPr>
        <w:t/>
        <w:t>2</w:t>
      </w:r>
      <w:r>
        <w:rPr>
          <w:rFonts w:ascii="Times New Roman" w:hAnsi="Times New Roman" w:eastAsia="仿宋_GB2312" w:cs="Times New Roman"/>
          <w:kern w:val="0"/>
          <w:sz w:val="30"/>
          <w:szCs w:val="30"/>
          <w:highlight w:val="none"/>
        </w:rPr>
        <w:t/>
        <w:t>辆</w:t>
      </w:r>
      <w:r>
        <w:rPr>
          <w:rFonts w:hint="eastAsia" w:ascii="Times New Roman" w:hAnsi="Times New Roman" w:eastAsia="仿宋_GB2312" w:cs="Times New Roman"/>
          <w:kern w:val="0"/>
          <w:sz w:val="30"/>
          <w:szCs w:val="30"/>
          <w:highlight w:val="none"/>
        </w:rPr>
        <w:t/>
        <w:t>，其他用车主要包括</w:t>
      </w:r>
      <w:r>
        <w:rPr>
          <w:rFonts w:hint="eastAsia" w:ascii="Times New Roman" w:hAnsi="Times New Roman" w:eastAsia="仿宋_GB2312" w:cs="仿宋_GB2312"/>
          <w:sz w:val="30"/>
          <w:szCs w:val="30"/>
          <w:highlight w:val="none"/>
          <w:lang w:eastAsia="zh-CN"/>
        </w:rPr>
        <w:t/>
        <w:t>截至202３年12月31日，天津市化学工业学校共有车辆2辆，其中：其他用车2辆，其他用车主要包括小轿车2辆，单价100万元以上的设备0台（套）</w:t>
      </w:r>
      <w:r>
        <w:rPr>
          <w:rFonts w:hint="eastAsia" w:ascii="Times New Roman" w:hAnsi="Times New Roman" w:eastAsia="仿宋_GB2312" w:cs="仿宋_GB2312"/>
          <w:kern w:val="0"/>
          <w:sz w:val="30"/>
          <w:szCs w:val="30"/>
          <w:highlight w:val="none"/>
          <w:lang w:val="zh-CN"/>
        </w:rPr>
        <w:t/>
        <w:t>。</w:t>
      </w:r>
      <w:r>
        <w:rPr>
          <w:rFonts w:hint="eastAsia" w:ascii="Times New Roman" w:hAnsi="Times New Roman" w:eastAsia="仿宋_GB2312" w:cs="仿宋_GB2312"/>
          <w:kern w:val="0"/>
          <w:sz w:val="30"/>
          <w:szCs w:val="30"/>
          <w:highlight w:val="none"/>
        </w:rPr>
        <w:t/>
        <w:t>单价</w:t>
      </w:r>
      <w:r>
        <w:rPr>
          <w:rFonts w:ascii="Times New Roman" w:hAnsi="Times New Roman" w:eastAsia="仿宋_GB2312" w:cs="仿宋_GB2312"/>
          <w:kern w:val="0"/>
          <w:sz w:val="30"/>
          <w:szCs w:val="30"/>
          <w:highlight w:val="none"/>
        </w:rPr>
        <w:t/>
        <w:t>100</w:t>
      </w:r>
      <w:r>
        <w:rPr>
          <w:rFonts w:hint="eastAsia" w:ascii="Times New Roman" w:hAnsi="Times New Roman" w:eastAsia="仿宋_GB2312" w:cs="仿宋_GB2312"/>
          <w:kern w:val="0"/>
          <w:sz w:val="30"/>
          <w:szCs w:val="30"/>
          <w:highlight w:val="none"/>
        </w:rPr>
        <w:t/>
        <w:t>万元以上的设备</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截至202３年12月31日，天津市化学工业学校共有车辆2辆，其中：其他用车2辆，其他用车主要包括小轿车2辆，单价100万元以上的设备0台（套）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十三、</w:t>
      </w:r>
      <w:r>
        <w:rPr>
          <w:rFonts w:hint="eastAsia" w:ascii="Times New Roman" w:hAnsi="Times New Roman" w:eastAsia="黑体" w:cs="黑体"/>
          <w:b/>
          <w:bCs/>
          <w:kern w:val="0"/>
          <w:sz w:val="30"/>
          <w:szCs w:val="30"/>
          <w:highlight w:val="none"/>
        </w:rPr>
        <w:t/>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根据预算绩效管理要求，天津市化学工业学校2023年度已对9个市级项目开展绩效自评，涉及金额360775元，自评结果已随部门决算一并公开。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十四、</w:t>
      </w:r>
      <w:r>
        <w:rPr>
          <w:rFonts w:hint="eastAsia" w:ascii="Times New Roman" w:hAnsi="Times New Roman" w:eastAsia="黑体" w:cs="黑体"/>
          <w:b/>
          <w:bCs/>
          <w:kern w:val="0"/>
          <w:sz w:val="30"/>
          <w:szCs w:val="30"/>
          <w:highlight w:val="none"/>
        </w:rPr>
        <w:t/>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天津市天津市化学工业学校不属于乡、镇、街级单位，不涉及公开202３年度教育、医疗卫生、社会保障和就业、住房保障、涉农补贴等民生支出情况。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天津市天津市化学工业学校不属于乡、镇、街级单位，不涉及公开202３年度教育、医疗卫生、社会保障和就业、住房保障、涉农补贴等民生支出情况。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
        <w:t>1</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2023-08-11T08:11:00Z</dcterms:created>
  <dc:creator>office</dc:creator>
  <cp:lastModifiedBy>hp</cp:lastModifiedBy>
  <dcterms:modified xsi:type="dcterms:W3CDTF">2024-08-06T07:37:09Z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